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4A6B" w14:textId="72019F0D" w:rsidR="001C355F" w:rsidRPr="001628BF" w:rsidRDefault="001628BF" w:rsidP="001628BF">
      <w:pPr>
        <w:pStyle w:val="Ttulo"/>
        <w:rPr>
          <w:color w:val="5B9BD5" w:themeColor="accent1"/>
          <w:sz w:val="40"/>
          <w:szCs w:val="40"/>
        </w:rPr>
      </w:pPr>
      <w:r w:rsidRPr="001628BF">
        <w:rPr>
          <w:color w:val="5B9BD5" w:themeColor="accent1"/>
          <w:sz w:val="40"/>
          <w:szCs w:val="40"/>
        </w:rPr>
        <w:t>Recomendaciones Generales del Banco p/estudiar propiedades de fluidos e hidrostática – Armfield F9092</w:t>
      </w:r>
    </w:p>
    <w:p w14:paraId="2BDD6D03" w14:textId="5A39F53E" w:rsidR="001C355F" w:rsidRDefault="005549F0" w:rsidP="001628BF">
      <w:pPr>
        <w:tabs>
          <w:tab w:val="center" w:pos="5245"/>
        </w:tabs>
        <w:jc w:val="center"/>
      </w:pPr>
      <w:r w:rsidRPr="005549F0">
        <w:rPr>
          <w:noProof/>
          <w:lang w:val="en-US"/>
        </w:rPr>
        <w:drawing>
          <wp:inline distT="0" distB="0" distL="0" distR="0" wp14:anchorId="66F4E1E3" wp14:editId="4F3EDDB0">
            <wp:extent cx="3528786" cy="3705225"/>
            <wp:effectExtent l="0" t="0" r="0" b="0"/>
            <wp:docPr id="12892743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2743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888" cy="372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ADFD" w14:textId="47DB4985" w:rsidR="001628BF" w:rsidRDefault="001628BF" w:rsidP="001628BF">
      <w:pPr>
        <w:pStyle w:val="Ttulo1"/>
      </w:pPr>
      <w:r>
        <w:t>Seguridad en el uso de equipos suministrados por Armfield</w:t>
      </w:r>
    </w:p>
    <w:p w14:paraId="04DAA0F9" w14:textId="133E674F" w:rsidR="001628BF" w:rsidRDefault="001628BF" w:rsidP="001628BF">
      <w:pPr>
        <w:spacing w:before="180"/>
      </w:pPr>
      <w:r>
        <w:t>Antes de proceder a instalar, poner en marcha u operar el equipo descrito en este manual de instrucciones, deseamos alertarte sobre posibles peligros para que puedas evitarlos.</w:t>
      </w:r>
    </w:p>
    <w:p w14:paraId="00C0778F" w14:textId="20F07516" w:rsidR="001628BF" w:rsidRDefault="001628BF" w:rsidP="001628BF">
      <w:pPr>
        <w:spacing w:before="180"/>
      </w:pPr>
      <w:r>
        <w:t>Aunque está diseñado para un funcionamiento seguro, cualquier equipo de laboratorio puede implicar procesos o procedimientos que son potencialmente peligrosos. Los principales peligros potenciales asociados con este equipo en particular se enumeran a continuación:</w:t>
      </w:r>
    </w:p>
    <w:p w14:paraId="018C5A51" w14:textId="5A61E927" w:rsidR="001628BF" w:rsidRDefault="001628BF" w:rsidP="001628BF">
      <w:pPr>
        <w:pStyle w:val="Prrafodelista"/>
        <w:numPr>
          <w:ilvl w:val="0"/>
          <w:numId w:val="15"/>
        </w:numPr>
        <w:spacing w:before="180"/>
      </w:pPr>
      <w:r>
        <w:t>LESIONES POR MAL USO</w:t>
      </w:r>
    </w:p>
    <w:p w14:paraId="1C1434D2" w14:textId="1B58D8C3" w:rsidR="001628BF" w:rsidRDefault="001628BF" w:rsidP="001628BF">
      <w:pPr>
        <w:pStyle w:val="Prrafodelista"/>
        <w:numPr>
          <w:ilvl w:val="0"/>
          <w:numId w:val="15"/>
        </w:numPr>
        <w:spacing w:before="180"/>
      </w:pPr>
      <w:r>
        <w:t>ENVENENAMIENTO POR MATERIALES TÓXICOS (P. ej. MERCURIO)</w:t>
      </w:r>
    </w:p>
    <w:p w14:paraId="4E18B76E" w14:textId="763723EE" w:rsidR="001628BF" w:rsidRDefault="001628BF" w:rsidP="001628BF">
      <w:pPr>
        <w:pStyle w:val="Prrafodelista"/>
        <w:numPr>
          <w:ilvl w:val="0"/>
          <w:numId w:val="15"/>
        </w:numPr>
        <w:spacing w:before="180"/>
      </w:pPr>
      <w:r>
        <w:t>LESIONES POR MANEJO INCORRECTO</w:t>
      </w:r>
    </w:p>
    <w:p w14:paraId="6C8ED0A1" w14:textId="607B457D" w:rsidR="001628BF" w:rsidRDefault="001628BF" w:rsidP="001628BF">
      <w:pPr>
        <w:pStyle w:val="Prrafodelista"/>
        <w:numPr>
          <w:ilvl w:val="0"/>
          <w:numId w:val="15"/>
        </w:numPr>
        <w:spacing w:before="180"/>
      </w:pPr>
      <w:r>
        <w:t>DAÑOS A LA ROPA</w:t>
      </w:r>
    </w:p>
    <w:p w14:paraId="533E08D7" w14:textId="7E000FA6" w:rsidR="001628BF" w:rsidRDefault="001628BF" w:rsidP="001628BF">
      <w:pPr>
        <w:pStyle w:val="Prrafodelista"/>
        <w:numPr>
          <w:ilvl w:val="0"/>
          <w:numId w:val="15"/>
        </w:numPr>
        <w:spacing w:before="180"/>
      </w:pPr>
      <w:r>
        <w:t>RIESGO DE INFECCIÓN POR FALTA DE LIMPIEZA</w:t>
      </w:r>
    </w:p>
    <w:p w14:paraId="29433E3C" w14:textId="77777777" w:rsidR="001628BF" w:rsidRDefault="001628BF" w:rsidP="001628BF">
      <w:pPr>
        <w:spacing w:before="180"/>
      </w:pPr>
      <w:r>
        <w:t xml:space="preserve">Se pueden evitar accidentes siempre que se dé mantenimiento regular al equipo y se informe a todos quienes lo usan de los peligros potenciales. </w:t>
      </w:r>
    </w:p>
    <w:p w14:paraId="19CBEC80" w14:textId="16AC96B9" w:rsidR="00D72719" w:rsidRDefault="001628BF" w:rsidP="001628BF">
      <w:pPr>
        <w:spacing w:before="180"/>
      </w:pPr>
      <w:r>
        <w:t xml:space="preserve">En este manual incluimos una lista de reglas generales, </w:t>
      </w:r>
      <w:r w:rsidR="00D72719">
        <w:t xml:space="preserve">que </w:t>
      </w:r>
      <w:r>
        <w:t xml:space="preserve">no pretende ser exhaustiva, sino una orientación. </w:t>
      </w:r>
      <w:r w:rsidR="00D72719">
        <w:t xml:space="preserve">Usá tu mejor criterio para mantener </w:t>
      </w:r>
      <w:r w:rsidR="00397E24">
        <w:t>la</w:t>
      </w:r>
      <w:r w:rsidR="00D72719">
        <w:t xml:space="preserve"> seguridad y </w:t>
      </w:r>
      <w:r w:rsidR="00C17A98">
        <w:t xml:space="preserve">conservar </w:t>
      </w:r>
      <w:r w:rsidR="00D72719">
        <w:t xml:space="preserve">las instalaciones en condiciones óptimas. </w:t>
      </w:r>
      <w:r w:rsidR="00C17A98">
        <w:t>Esta actitud s</w:t>
      </w:r>
      <w:r w:rsidR="00D72719">
        <w:t>erá un</w:t>
      </w:r>
      <w:r w:rsidR="000D0C59">
        <w:t>a</w:t>
      </w:r>
      <w:r w:rsidR="00D72719">
        <w:t xml:space="preserve"> buena previa de lo que </w:t>
      </w:r>
      <w:r w:rsidR="00C17A98">
        <w:t xml:space="preserve">se espera de vos en </w:t>
      </w:r>
      <w:r w:rsidR="00D72719">
        <w:t>tu ejercicio profesional, y además permitirá que otros compañeros de cohortes posteriores sigan contando con las facilidades que te ofrece este laboratorio hoy.</w:t>
      </w:r>
    </w:p>
    <w:p w14:paraId="34C16380" w14:textId="45A867B1" w:rsidR="00D72719" w:rsidRDefault="00D72719" w:rsidP="001628BF">
      <w:pPr>
        <w:spacing w:before="180"/>
      </w:pPr>
      <w:r>
        <w:t xml:space="preserve">¡Y no dejes de leer los puntos siguientes! </w:t>
      </w:r>
      <w:r w:rsidR="00C17A98">
        <w:t>¡</w:t>
      </w:r>
      <w:r>
        <w:t>Todo este documento es importante</w:t>
      </w:r>
      <w:r w:rsidR="00C17A98">
        <w:t>!</w:t>
      </w:r>
    </w:p>
    <w:p w14:paraId="75F0AA73" w14:textId="77777777" w:rsidR="001628BF" w:rsidRDefault="001628BF" w:rsidP="00F64099">
      <w:pPr>
        <w:pStyle w:val="Ttulo2"/>
      </w:pPr>
      <w:r>
        <w:lastRenderedPageBreak/>
        <w:t>El Reglamento COSHH</w:t>
      </w:r>
    </w:p>
    <w:p w14:paraId="0CBB36B7" w14:textId="694BD392" w:rsidR="001628BF" w:rsidRDefault="001628BF" w:rsidP="00F64099">
      <w:pPr>
        <w:pStyle w:val="Ttulo3"/>
      </w:pPr>
      <w:r>
        <w:t>Reglamento de Control de Sustancias Peligrosas para la Salud (</w:t>
      </w:r>
      <w:r w:rsidR="0090308B">
        <w:t xml:space="preserve">Reino Unido - </w:t>
      </w:r>
      <w:r>
        <w:t>1988)</w:t>
      </w:r>
    </w:p>
    <w:p w14:paraId="6BB62322" w14:textId="3C5AF5B6" w:rsidR="001628BF" w:rsidRDefault="001628BF" w:rsidP="001628BF">
      <w:pPr>
        <w:spacing w:before="180"/>
      </w:pPr>
      <w:r>
        <w:t xml:space="preserve">Las regulaciones COSHH </w:t>
      </w:r>
      <w:r w:rsidR="00792F75">
        <w:t xml:space="preserve">del país del fabricante </w:t>
      </w:r>
      <w:r w:rsidR="00A56183">
        <w:t xml:space="preserve">(Reino Unido) </w:t>
      </w:r>
      <w:r>
        <w:t>imponen a los empleadores el deber de proteger a los empleados y a otras personas de las sustancias utilizadas en el trabajo que pued</w:t>
      </w:r>
      <w:r w:rsidR="00854DDF">
        <w:t>a</w:t>
      </w:r>
      <w:r>
        <w:t xml:space="preserve">n </w:t>
      </w:r>
      <w:r w:rsidR="00854DDF">
        <w:t xml:space="preserve">resultar </w:t>
      </w:r>
      <w:r>
        <w:t xml:space="preserve">peligrosas para la salud. </w:t>
      </w:r>
      <w:r w:rsidR="00792F75">
        <w:t xml:space="preserve">Los consejos de esta </w:t>
      </w:r>
      <w:r w:rsidR="00A56183">
        <w:t xml:space="preserve">reglamentación son completamente racionales y </w:t>
      </w:r>
      <w:r w:rsidR="00792F75">
        <w:t>pueden resultarnos muy útiles aquí también</w:t>
      </w:r>
      <w:r w:rsidR="00A56183">
        <w:t>, aún cuando no los tengamos como norma</w:t>
      </w:r>
      <w:r w:rsidR="00792F75">
        <w:t xml:space="preserve">. </w:t>
      </w:r>
      <w:r>
        <w:t>La normativa exige que se realice una evaluación de todas las operaciones que puedan exponer a cualquier persona a sólidos, líquidos, polvos, vapores, gases o microorganismos peligrosos. También se le exige que introduzca procedimientos adecuados para la manipulación de estas sustancias y mantenga registros adecuados.</w:t>
      </w:r>
    </w:p>
    <w:p w14:paraId="442F0E29" w14:textId="4B0F02E1" w:rsidR="001628BF" w:rsidRDefault="001628BF" w:rsidP="001628BF">
      <w:pPr>
        <w:spacing w:before="180"/>
      </w:pPr>
      <w:r>
        <w:t xml:space="preserve">Dado que el equipo suministrado por Armfield Limited puede </w:t>
      </w:r>
      <w:r w:rsidR="00A56183">
        <w:t>necesitar</w:t>
      </w:r>
      <w:r>
        <w:t xml:space="preserve"> el uso de sustancias que pueden ser peligrosas (por ejemplo, líquidos de limpieza</w:t>
      </w:r>
      <w:r w:rsidR="00A56183">
        <w:t xml:space="preserve">, </w:t>
      </w:r>
      <w:r>
        <w:t>productos químicos utilizados para demostraciones particulares</w:t>
      </w:r>
      <w:r w:rsidR="00A56183">
        <w:t>, etc.</w:t>
      </w:r>
      <w:r>
        <w:t>), es esencial que el supervisor del laboratorio o alguna otra persona con autoridad sea responsable de implementar las normas COSHH.</w:t>
      </w:r>
    </w:p>
    <w:p w14:paraId="7D47483B" w14:textId="77777777" w:rsidR="001628BF" w:rsidRDefault="001628BF" w:rsidP="001628BF">
      <w:pPr>
        <w:spacing w:before="180"/>
      </w:pPr>
      <w:r>
        <w:t>Parte de las regulaciones anteriores tienen como objetivo garantizar que las Hojas de Datos de Seguridad y Salud relevantes estén disponibles para todas las sustancias peligrosas utilizadas en el laboratorio. Cualquier persona que utilice una sustancia peligrosa debe ser informada de lo siguiente:</w:t>
      </w:r>
    </w:p>
    <w:p w14:paraId="62E1DB9F" w14:textId="77777777" w:rsidR="001628BF" w:rsidRDefault="001628BF" w:rsidP="00A56183">
      <w:pPr>
        <w:pStyle w:val="Prrafodelista"/>
        <w:numPr>
          <w:ilvl w:val="0"/>
          <w:numId w:val="16"/>
        </w:numPr>
        <w:spacing w:before="180"/>
      </w:pPr>
      <w:r>
        <w:t>Datos físicos sobre la sustancia.</w:t>
      </w:r>
    </w:p>
    <w:p w14:paraId="0DB34A9E" w14:textId="77777777" w:rsidR="001628BF" w:rsidRDefault="001628BF" w:rsidP="00A56183">
      <w:pPr>
        <w:pStyle w:val="Prrafodelista"/>
        <w:numPr>
          <w:ilvl w:val="0"/>
          <w:numId w:val="16"/>
        </w:numPr>
        <w:spacing w:before="180"/>
      </w:pPr>
      <w:r>
        <w:t>Cualquier peligro de incendio o explosión.</w:t>
      </w:r>
    </w:p>
    <w:p w14:paraId="3242396F" w14:textId="77777777" w:rsidR="001628BF" w:rsidRDefault="001628BF" w:rsidP="00A56183">
      <w:pPr>
        <w:pStyle w:val="Prrafodelista"/>
        <w:numPr>
          <w:ilvl w:val="0"/>
          <w:numId w:val="16"/>
        </w:numPr>
        <w:spacing w:before="180"/>
      </w:pPr>
      <w:r>
        <w:t>Cualquier peligro para la salud.</w:t>
      </w:r>
    </w:p>
    <w:p w14:paraId="31A22D58" w14:textId="77777777" w:rsidR="001628BF" w:rsidRDefault="001628BF" w:rsidP="00A56183">
      <w:pPr>
        <w:pStyle w:val="Prrafodelista"/>
        <w:numPr>
          <w:ilvl w:val="0"/>
          <w:numId w:val="16"/>
        </w:numPr>
        <w:spacing w:before="180"/>
      </w:pPr>
      <w:r>
        <w:t>Tratamiento adecuado de primeros auxilios.</w:t>
      </w:r>
    </w:p>
    <w:p w14:paraId="35B25087" w14:textId="77777777" w:rsidR="001628BF" w:rsidRDefault="001628BF" w:rsidP="00A56183">
      <w:pPr>
        <w:pStyle w:val="Prrafodelista"/>
        <w:numPr>
          <w:ilvl w:val="0"/>
          <w:numId w:val="16"/>
        </w:numPr>
        <w:spacing w:before="180"/>
      </w:pPr>
      <w:r>
        <w:t>Cualquier peligro por reacción con otras sustancias.</w:t>
      </w:r>
    </w:p>
    <w:p w14:paraId="14C8106E" w14:textId="6147343A" w:rsidR="001628BF" w:rsidRDefault="001628BF" w:rsidP="00A56183">
      <w:pPr>
        <w:pStyle w:val="Prrafodelista"/>
        <w:numPr>
          <w:ilvl w:val="0"/>
          <w:numId w:val="16"/>
        </w:numPr>
        <w:spacing w:before="180"/>
      </w:pPr>
      <w:r>
        <w:t>Cómo limpiar/eliminar el derrame</w:t>
      </w:r>
      <w:r w:rsidR="00A56183">
        <w:t>.</w:t>
      </w:r>
    </w:p>
    <w:p w14:paraId="5A2B0714" w14:textId="03AB7E0D" w:rsidR="001628BF" w:rsidRDefault="001628BF" w:rsidP="00A56183">
      <w:pPr>
        <w:pStyle w:val="Prrafodelista"/>
        <w:numPr>
          <w:ilvl w:val="0"/>
          <w:numId w:val="16"/>
        </w:numPr>
        <w:spacing w:before="180"/>
      </w:pPr>
      <w:r>
        <w:t>Medidas de protección adecuadas</w:t>
      </w:r>
      <w:r w:rsidR="00A56183">
        <w:t>.</w:t>
      </w:r>
    </w:p>
    <w:p w14:paraId="3FBB702B" w14:textId="650F5831" w:rsidR="001628BF" w:rsidRDefault="001628BF" w:rsidP="00A56183">
      <w:pPr>
        <w:pStyle w:val="Prrafodelista"/>
        <w:numPr>
          <w:ilvl w:val="0"/>
          <w:numId w:val="16"/>
        </w:numPr>
        <w:spacing w:before="180"/>
      </w:pPr>
      <w:r>
        <w:t>Almacenamiento y manipulación adecuados</w:t>
      </w:r>
      <w:r w:rsidR="00A56183">
        <w:t>.</w:t>
      </w:r>
    </w:p>
    <w:p w14:paraId="2C196517" w14:textId="652FC802" w:rsidR="001628BF" w:rsidRDefault="001628BF" w:rsidP="001628BF">
      <w:pPr>
        <w:spacing w:before="180"/>
      </w:pPr>
      <w:r>
        <w:t xml:space="preserve">Aunque es posible que estas regulaciones no sean aplicables </w:t>
      </w:r>
      <w:r w:rsidR="00A56183">
        <w:t>aquí</w:t>
      </w:r>
      <w:r>
        <w:t>, recom</w:t>
      </w:r>
      <w:r w:rsidR="00A56183">
        <w:t>endamos</w:t>
      </w:r>
      <w:r w:rsidR="000C0551">
        <w:t xml:space="preserve"> encarecidamente a todos los encargados</w:t>
      </w:r>
      <w:r>
        <w:t xml:space="preserve"> que </w:t>
      </w:r>
      <w:r w:rsidR="000C0551">
        <w:t xml:space="preserve">adopten </w:t>
      </w:r>
      <w:r>
        <w:t>un enfoque similar para la protección de los estudiantes que operan el equipo. También</w:t>
      </w:r>
      <w:r w:rsidR="00A56183">
        <w:t xml:space="preserve">, por supuesto, han de </w:t>
      </w:r>
      <w:r>
        <w:t>considerar las regulaciones locales.</w:t>
      </w:r>
    </w:p>
    <w:p w14:paraId="530F86A9" w14:textId="77777777" w:rsidR="00F64099" w:rsidRDefault="00F64099" w:rsidP="00F64099">
      <w:pPr>
        <w:pStyle w:val="Ttulo2"/>
      </w:pPr>
      <w:r w:rsidRPr="00F64099">
        <w:t xml:space="preserve">Peligros transmitidos por el agua </w:t>
      </w:r>
    </w:p>
    <w:p w14:paraId="2E9097E7" w14:textId="47D4B4DC" w:rsidR="00F64099" w:rsidRDefault="00F64099" w:rsidP="001628BF">
      <w:pPr>
        <w:spacing w:before="180"/>
      </w:pPr>
      <w:r w:rsidRPr="00F64099">
        <w:t xml:space="preserve">El equipo descrito en este manual de instrucciones </w:t>
      </w:r>
      <w:r>
        <w:t xml:space="preserve">se usa con agua. El agua, </w:t>
      </w:r>
      <w:r w:rsidRPr="00F64099">
        <w:t>bajo ciertas condiciones</w:t>
      </w:r>
      <w:r>
        <w:t>,</w:t>
      </w:r>
      <w:r w:rsidRPr="00F64099">
        <w:t xml:space="preserve"> puede crear un peligro para la salud debido a la</w:t>
      </w:r>
      <w:r w:rsidR="00BB76F7">
        <w:t>s</w:t>
      </w:r>
      <w:r w:rsidRPr="00F64099">
        <w:t xml:space="preserve"> infecci</w:t>
      </w:r>
      <w:r w:rsidR="00BB76F7">
        <w:t>ones</w:t>
      </w:r>
      <w:r w:rsidRPr="00F64099">
        <w:t xml:space="preserve"> por microorganismos dañinos.</w:t>
      </w:r>
    </w:p>
    <w:p w14:paraId="50F05FA6" w14:textId="56CE813E" w:rsidR="00F64099" w:rsidRDefault="00F64099" w:rsidP="001628BF">
      <w:pPr>
        <w:spacing w:before="180"/>
      </w:pPr>
      <w:r w:rsidRPr="00F64099">
        <w:t xml:space="preserve">Por ejemplo, la bacteria microscópica llamada Legionella </w:t>
      </w:r>
      <w:r w:rsidR="00BB76F7">
        <w:t>P</w:t>
      </w:r>
      <w:r w:rsidRPr="00F64099">
        <w:t>neumophila se alimentará a cualquier escala de óxido, algas o lodos en el agua y se reproducirá rápidamente si la temperatura de</w:t>
      </w:r>
      <w:r w:rsidR="00BB76F7">
        <w:t xml:space="preserve"> la misma </w:t>
      </w:r>
      <w:r w:rsidRPr="00F64099">
        <w:t>está entre 20 y 45°C.</w:t>
      </w:r>
    </w:p>
    <w:p w14:paraId="21079CB3" w14:textId="77777777" w:rsidR="00F64099" w:rsidRDefault="00F64099" w:rsidP="001628BF">
      <w:pPr>
        <w:spacing w:before="180"/>
      </w:pPr>
      <w:r w:rsidRPr="00F64099">
        <w:t>Cualquier agua que contenga esta bacteria y que se rocíe o salpique creando gotitas suspendidas en el aire puede producir una forma de neumonía llamada enfermedad del legionario, que es potencialmente mortal.</w:t>
      </w:r>
    </w:p>
    <w:p w14:paraId="24946E12" w14:textId="77777777" w:rsidR="00224FED" w:rsidRDefault="00F64099" w:rsidP="001628BF">
      <w:pPr>
        <w:spacing w:before="180"/>
      </w:pPr>
      <w:r w:rsidRPr="00F64099">
        <w:t>La legionella no es el único microorganismo nocivo que puede infectar el agua, pero constituye un ejemplo útil de la necesidad de limpieza.</w:t>
      </w:r>
    </w:p>
    <w:p w14:paraId="1A69E188" w14:textId="77777777" w:rsidR="00224FED" w:rsidRDefault="00F64099" w:rsidP="001628BF">
      <w:pPr>
        <w:spacing w:before="180"/>
      </w:pPr>
      <w:r w:rsidRPr="00F64099">
        <w:t xml:space="preserve">Según las regulaciones COSHH, se deben observar las siguientes precauciones: </w:t>
      </w:r>
    </w:p>
    <w:p w14:paraId="24210A4A" w14:textId="4D5889FA" w:rsidR="00224FED" w:rsidRPr="00BA136C" w:rsidRDefault="00F64099" w:rsidP="00224FED">
      <w:pPr>
        <w:pStyle w:val="Prrafodelista"/>
        <w:numPr>
          <w:ilvl w:val="0"/>
          <w:numId w:val="17"/>
        </w:numPr>
        <w:spacing w:before="180"/>
        <w:rPr>
          <w:b/>
          <w:bCs/>
        </w:rPr>
      </w:pPr>
      <w:r w:rsidRPr="00F64099">
        <w:t>No se debe permitir que el agua contenida en el producto se estanque</w:t>
      </w:r>
      <w:r w:rsidR="00224FED">
        <w:t xml:space="preserve"> =&gt;</w:t>
      </w:r>
      <w:r w:rsidRPr="00F64099">
        <w:t xml:space="preserve"> </w:t>
      </w:r>
      <w:r w:rsidRPr="00BA136C">
        <w:rPr>
          <w:b/>
          <w:bCs/>
        </w:rPr>
        <w:t>el agua debe cambiarse periódicamente</w:t>
      </w:r>
      <w:r w:rsidR="00224FED" w:rsidRPr="00BA136C">
        <w:rPr>
          <w:b/>
          <w:bCs/>
        </w:rPr>
        <w:t>.</w:t>
      </w:r>
    </w:p>
    <w:p w14:paraId="4A887100" w14:textId="2394A869" w:rsidR="00224FED" w:rsidRDefault="00F64099" w:rsidP="00224FED">
      <w:pPr>
        <w:pStyle w:val="Prrafodelista"/>
        <w:numPr>
          <w:ilvl w:val="0"/>
          <w:numId w:val="17"/>
        </w:numPr>
        <w:spacing w:before="180"/>
      </w:pPr>
      <w:r w:rsidRPr="00F64099">
        <w:t>El óxido, el lodo, las incrustaciones o las algas en las que puedan alimentarse los microorganismos deben eliminarse periódicamente</w:t>
      </w:r>
      <w:r w:rsidR="00224FED">
        <w:t xml:space="preserve"> =&gt; </w:t>
      </w:r>
      <w:r w:rsidRPr="00BA136C">
        <w:rPr>
          <w:b/>
          <w:bCs/>
        </w:rPr>
        <w:t>el equipo debe limpiarse periódicamente.</w:t>
      </w:r>
    </w:p>
    <w:p w14:paraId="394F9BB7" w14:textId="61B1C1F7" w:rsidR="00224FED" w:rsidRDefault="00F64099" w:rsidP="00224FED">
      <w:pPr>
        <w:pStyle w:val="Prrafodelista"/>
        <w:numPr>
          <w:ilvl w:val="0"/>
          <w:numId w:val="17"/>
        </w:numPr>
        <w:spacing w:before="180"/>
      </w:pPr>
      <w:r w:rsidRPr="00F64099">
        <w:lastRenderedPageBreak/>
        <w:t xml:space="preserve">Cuando sea posible, el agua debería mantenerse a una temperatura </w:t>
      </w:r>
      <w:r w:rsidRPr="00BA136C">
        <w:rPr>
          <w:b/>
          <w:bCs/>
        </w:rPr>
        <w:t>inferior a 20°C</w:t>
      </w:r>
      <w:r w:rsidRPr="00F64099">
        <w:t>. Si esto no es posible, entonces se debe desinfectar el agua si es seguro y apropiado hacerlo.</w:t>
      </w:r>
      <w:r w:rsidR="00224FED">
        <w:t xml:space="preserve"> </w:t>
      </w:r>
      <w:r w:rsidRPr="00F64099">
        <w:t>Ten</w:t>
      </w:r>
      <w:r w:rsidR="00224FED">
        <w:t xml:space="preserve">é </w:t>
      </w:r>
      <w:r w:rsidRPr="00F64099">
        <w:t xml:space="preserve">en cuenta que pueden existir otros peligros </w:t>
      </w:r>
      <w:r w:rsidR="00224FED">
        <w:t xml:space="preserve">al manipular los </w:t>
      </w:r>
      <w:r w:rsidRPr="00F64099">
        <w:t>biocidas utilizados para desinfectar el agua.</w:t>
      </w:r>
    </w:p>
    <w:p w14:paraId="5DE48E9F" w14:textId="77777777" w:rsidR="00224FED" w:rsidRDefault="00F64099" w:rsidP="00224FED">
      <w:pPr>
        <w:pStyle w:val="Prrafodelista"/>
        <w:numPr>
          <w:ilvl w:val="0"/>
          <w:numId w:val="17"/>
        </w:numPr>
        <w:spacing w:before="180"/>
      </w:pPr>
      <w:r w:rsidRPr="00F64099">
        <w:t xml:space="preserve">Se debe preparar un esquema para prevenir o controlar el riesgo incorporando todas las acciones enumeradas anteriormente. </w:t>
      </w:r>
    </w:p>
    <w:p w14:paraId="63712C9A" w14:textId="77777777" w:rsidR="00877781" w:rsidRDefault="00F64099" w:rsidP="001628BF">
      <w:pPr>
        <w:spacing w:before="180"/>
      </w:pPr>
      <w:r w:rsidRPr="00F64099">
        <w:t xml:space="preserve">Más detalles sobre la prevención de infecciones se encuentran en la publicación </w:t>
      </w:r>
      <w:r w:rsidR="00224FED" w:rsidRPr="00224FED">
        <w:rPr>
          <w:i/>
          <w:iCs/>
        </w:rPr>
        <w:t>“The Control of Legionellosis including Legionnaires Disease” - Health and Safety Series booklet HS (G) 70</w:t>
      </w:r>
      <w:r w:rsidR="00877781">
        <w:t>. Al tiempo de publicacion de este manual, el texto puede bajarse gratuitamente desde:</w:t>
      </w:r>
    </w:p>
    <w:p w14:paraId="6C36D277" w14:textId="4EEDA623" w:rsidR="00A56183" w:rsidRDefault="001D6534" w:rsidP="00BA136C">
      <w:pPr>
        <w:spacing w:before="180"/>
        <w:jc w:val="center"/>
      </w:pPr>
      <w:hyperlink r:id="rId9" w:history="1">
        <w:r w:rsidR="00877781" w:rsidRPr="00B97127">
          <w:rPr>
            <w:rStyle w:val="Hipervnculo"/>
          </w:rPr>
          <w:t>https://www.hse.gov.uk/pubns/priced/l8.pdf</w:t>
        </w:r>
      </w:hyperlink>
    </w:p>
    <w:p w14:paraId="6FD54658" w14:textId="59660D29" w:rsidR="00307675" w:rsidRDefault="00307675" w:rsidP="00307675">
      <w:pPr>
        <w:pStyle w:val="Ttulo1"/>
      </w:pPr>
      <w:r>
        <w:t>Panorama General</w:t>
      </w:r>
    </w:p>
    <w:p w14:paraId="3C0A4793" w14:textId="644F6DAE" w:rsidR="00307675" w:rsidRDefault="00307675" w:rsidP="00307675">
      <w:pPr>
        <w:spacing w:before="180"/>
      </w:pPr>
      <w:r>
        <w:t>Un fluido se define como cualquier sustancia que cuando actúa sobre ella una fuerza pura, por pequeña que sea, sufre una deformación continua e ilimitada.</w:t>
      </w:r>
    </w:p>
    <w:p w14:paraId="7168A32C" w14:textId="4A0DE25D" w:rsidR="00307675" w:rsidRDefault="00307675" w:rsidP="00307675">
      <w:pPr>
        <w:spacing w:before="180"/>
      </w:pPr>
      <w:r>
        <w:t>Si la velocidad de deformación es directamente proporcional a la magnitud de la fuerza aplicada, la sustancia se denomina fluido newtoniano. Este banco se fue diseñado y construido para permitirte estudiar todas las propiedades importantes de dichos fluidos.</w:t>
      </w:r>
    </w:p>
    <w:p w14:paraId="5648C7D8" w14:textId="1377CE04" w:rsidR="00307675" w:rsidRDefault="00307675" w:rsidP="00307675">
      <w:pPr>
        <w:spacing w:before="180"/>
      </w:pPr>
      <w:r>
        <w:t xml:space="preserve">Con este aparato podrás acceder y desarrollar el conocimiento de una amplia gama de principios y técnicas sobre mecánica de fluidos </w:t>
      </w:r>
      <w:r w:rsidR="00BA136C">
        <w:t xml:space="preserve">y buenas prácticas de laboratorio </w:t>
      </w:r>
      <w:r>
        <w:t>que te resultarán útiles toda la vida.</w:t>
      </w:r>
    </w:p>
    <w:p w14:paraId="5C32A8D8" w14:textId="76273369" w:rsidR="00E258AA" w:rsidRDefault="00307675" w:rsidP="00307675">
      <w:pPr>
        <w:spacing w:before="180"/>
      </w:pPr>
      <w:r>
        <w:t>E</w:t>
      </w:r>
      <w:r w:rsidR="00E258AA">
        <w:t xml:space="preserve">ste banco </w:t>
      </w:r>
      <w:r>
        <w:t>es</w:t>
      </w:r>
      <w:r w:rsidR="00E258AA">
        <w:t xml:space="preserve"> móvil,</w:t>
      </w:r>
      <w:r>
        <w:t xml:space="preserve"> totalmente autónomo</w:t>
      </w:r>
      <w:r w:rsidR="00E258AA">
        <w:t xml:space="preserve">, no precisa estar contectado a ningún </w:t>
      </w:r>
      <w:r>
        <w:t>servicio del laboratorio</w:t>
      </w:r>
      <w:r w:rsidR="00E258AA">
        <w:t xml:space="preserve"> e incluye todos los elementos auxiliares que precisarás para llevar a cabo los trabajo</w:t>
      </w:r>
      <w:r w:rsidR="00272848">
        <w:t>s</w:t>
      </w:r>
      <w:r w:rsidR="00E258AA">
        <w:t xml:space="preserve"> prácticos propuestos.</w:t>
      </w:r>
    </w:p>
    <w:p w14:paraId="2EC0DFB1" w14:textId="77777777" w:rsidR="00B63594" w:rsidRDefault="00B63594">
      <w:pPr>
        <w:tabs>
          <w:tab w:val="clear" w:pos="9979"/>
        </w:tabs>
        <w:spacing w:before="0" w:after="160"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C733ACB" w14:textId="26949FBD" w:rsidR="00307675" w:rsidRDefault="00307675" w:rsidP="00307675">
      <w:pPr>
        <w:pStyle w:val="Ttulo1"/>
      </w:pPr>
      <w:r>
        <w:lastRenderedPageBreak/>
        <w:t>Descripción del Banco</w:t>
      </w:r>
    </w:p>
    <w:p w14:paraId="533475B8" w14:textId="77777777" w:rsidR="00B63594" w:rsidRDefault="00307675" w:rsidP="00307675">
      <w:pPr>
        <w:spacing w:before="180"/>
      </w:pPr>
      <w:r>
        <w:t>Cuando sea necesario, consultá</w:t>
      </w:r>
      <w:r w:rsidR="00B63594">
        <w:t xml:space="preserve"> las fotografías y diagramas de esta sección para orientarte.</w:t>
      </w:r>
    </w:p>
    <w:p w14:paraId="53499A6B" w14:textId="5EAB676D" w:rsidR="00B63594" w:rsidRDefault="00B63594" w:rsidP="00307675">
      <w:pPr>
        <w:spacing w:before="180"/>
      </w:pPr>
      <w:r>
        <w:rPr>
          <w:noProof/>
        </w:rPr>
        <w:drawing>
          <wp:inline distT="0" distB="0" distL="0" distR="0" wp14:anchorId="70ABB39C" wp14:editId="3D37F3E6">
            <wp:extent cx="6390005" cy="6704330"/>
            <wp:effectExtent l="0" t="0" r="0" b="1270"/>
            <wp:docPr id="19276006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00698" name="Imagen 192760069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678D" w14:textId="626290E4" w:rsidR="00B63594" w:rsidRDefault="00B63594" w:rsidP="00B63594">
      <w:pPr>
        <w:spacing w:before="180"/>
        <w:jc w:val="center"/>
      </w:pPr>
      <w:r>
        <w:t>Figura 1</w:t>
      </w:r>
      <w:r w:rsidR="00015FC5">
        <w:t xml:space="preserve"> – Vista general e índice de elementos</w:t>
      </w:r>
    </w:p>
    <w:p w14:paraId="1E2D9B1C" w14:textId="77777777" w:rsidR="00015FC5" w:rsidRDefault="00015FC5">
      <w:pPr>
        <w:tabs>
          <w:tab w:val="clear" w:pos="9979"/>
        </w:tabs>
        <w:spacing w:before="0" w:after="160" w:line="259" w:lineRule="auto"/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7A780644" w14:textId="63111837" w:rsidR="00BB67E0" w:rsidRDefault="00BB67E0" w:rsidP="00BB67E0">
      <w:pPr>
        <w:pStyle w:val="Ttulo2"/>
      </w:pPr>
      <w:r>
        <w:lastRenderedPageBreak/>
        <w:t>Referencias</w:t>
      </w:r>
    </w:p>
    <w:p w14:paraId="06098E3E" w14:textId="52AAB895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Hidrómetro universal</w:t>
      </w:r>
      <w:r w:rsidR="00195DAD">
        <w:t>: fijado al</w:t>
      </w:r>
      <w:r>
        <w:t xml:space="preserve"> tablero</w:t>
      </w:r>
    </w:p>
    <w:p w14:paraId="37A28B92" w14:textId="17FE9A44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Frascos de hidrómetro</w:t>
      </w:r>
      <w:r w:rsidR="00195DAD">
        <w:t xml:space="preserve">: </w:t>
      </w:r>
      <w:r w:rsidR="00DB6781">
        <w:t xml:space="preserve">uno </w:t>
      </w:r>
      <w:r w:rsidR="00195DAD">
        <w:t>suelto</w:t>
      </w:r>
      <w:r>
        <w:t xml:space="preserve"> y </w:t>
      </w:r>
      <w:r w:rsidR="00DB6781">
        <w:t xml:space="preserve">uno </w:t>
      </w:r>
      <w:r w:rsidR="00195DAD">
        <w:t>fijado</w:t>
      </w:r>
      <w:r>
        <w:t xml:space="preserve"> al tablero</w:t>
      </w:r>
    </w:p>
    <w:p w14:paraId="71D13438" w14:textId="7F9E067B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Viscosímetros de esfera descendente</w:t>
      </w:r>
      <w:r w:rsidR="00195DAD">
        <w:t>: fijados</w:t>
      </w:r>
      <w:r>
        <w:t xml:space="preserve"> al tablero</w:t>
      </w:r>
    </w:p>
    <w:p w14:paraId="01CD3824" w14:textId="71DF89A7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 xml:space="preserve">Tubos </w:t>
      </w:r>
      <w:r w:rsidR="001D6534">
        <w:t xml:space="preserve">para trabajar con </w:t>
      </w:r>
      <w:r>
        <w:t>superficie</w:t>
      </w:r>
      <w:r w:rsidR="001D6534">
        <w:t>s</w:t>
      </w:r>
      <w:r>
        <w:t xml:space="preserve"> libre</w:t>
      </w:r>
      <w:r w:rsidR="001D6534">
        <w:t>s</w:t>
      </w:r>
      <w:r w:rsidR="00195DAD">
        <w:t>: fijados</w:t>
      </w:r>
      <w:r>
        <w:t xml:space="preserve"> </w:t>
      </w:r>
      <w:r w:rsidR="00195DAD">
        <w:t>a</w:t>
      </w:r>
      <w:r>
        <w:t>l tablero</w:t>
      </w:r>
    </w:p>
    <w:p w14:paraId="38EF70DB" w14:textId="2CC26F19" w:rsidR="00015FC5" w:rsidRDefault="00195DAD" w:rsidP="00015FC5">
      <w:pPr>
        <w:pStyle w:val="Prrafodelista"/>
        <w:numPr>
          <w:ilvl w:val="0"/>
          <w:numId w:val="18"/>
        </w:numPr>
        <w:spacing w:before="180"/>
      </w:pPr>
      <w:r>
        <w:t>Limnímetro</w:t>
      </w:r>
      <w:r w:rsidR="00015FC5">
        <w:t xml:space="preserve"> de</w:t>
      </w:r>
      <w:r>
        <w:t xml:space="preserve"> punta y gancho: fijado a</w:t>
      </w:r>
      <w:r w:rsidR="00015FC5">
        <w:t>l tablero</w:t>
      </w:r>
    </w:p>
    <w:p w14:paraId="54C948BE" w14:textId="3FD67F2B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Barómetro de mercurio</w:t>
      </w:r>
      <w:r w:rsidR="00195DAD">
        <w:t>: fijado a</w:t>
      </w:r>
      <w:r>
        <w:t>l tablero</w:t>
      </w:r>
    </w:p>
    <w:p w14:paraId="48F880EE" w14:textId="28E76223" w:rsidR="00015FC5" w:rsidRDefault="00195DAD" w:rsidP="00015FC5">
      <w:pPr>
        <w:pStyle w:val="Prrafodelista"/>
        <w:numPr>
          <w:ilvl w:val="0"/>
          <w:numId w:val="18"/>
        </w:numPr>
        <w:spacing w:before="180"/>
      </w:pPr>
      <w:r>
        <w:t>Manómetro de</w:t>
      </w:r>
      <w:r w:rsidR="00015FC5">
        <w:t xml:space="preserve"> Bourdon</w:t>
      </w:r>
      <w:r>
        <w:t xml:space="preserve"> (</w:t>
      </w:r>
      <w:r w:rsidR="00015FC5">
        <w:t>parte de</w:t>
      </w:r>
      <w:r>
        <w:t>l</w:t>
      </w:r>
      <w:r w:rsidR="00015FC5">
        <w:t xml:space="preserve"> F1-11</w:t>
      </w:r>
      <w:r>
        <w:t>): suelto</w:t>
      </w:r>
    </w:p>
    <w:p w14:paraId="0077177C" w14:textId="5F4282F5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Manómetro de tubo en 'U' de mercurio</w:t>
      </w:r>
      <w:r w:rsidR="00195DAD">
        <w:t>: fijado al tablero</w:t>
      </w:r>
    </w:p>
    <w:p w14:paraId="73CCAE89" w14:textId="221CE96F" w:rsidR="00015FC5" w:rsidRDefault="00195DAD" w:rsidP="00015FC5">
      <w:pPr>
        <w:pStyle w:val="Prrafodelista"/>
        <w:numPr>
          <w:ilvl w:val="0"/>
          <w:numId w:val="18"/>
        </w:numPr>
        <w:spacing w:before="180"/>
      </w:pPr>
      <w:r>
        <w:t>idem</w:t>
      </w:r>
    </w:p>
    <w:p w14:paraId="0E50AA58" w14:textId="35EB4AE9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Bombas de agua operadas manualmente</w:t>
      </w:r>
      <w:r w:rsidR="00195DAD">
        <w:t xml:space="preserve">: fijadas en </w:t>
      </w:r>
      <w:r>
        <w:t>la mesa de trabajo junto a</w:t>
      </w:r>
      <w:r w:rsidR="00195DAD">
        <w:t xml:space="preserve"> la bacha</w:t>
      </w:r>
    </w:p>
    <w:p w14:paraId="6EEEB6FA" w14:textId="37B06BC7" w:rsidR="00015FC5" w:rsidRDefault="00015FC5" w:rsidP="00195DAD">
      <w:pPr>
        <w:pStyle w:val="Prrafodelista"/>
        <w:numPr>
          <w:ilvl w:val="0"/>
          <w:numId w:val="18"/>
        </w:numPr>
        <w:spacing w:before="180"/>
      </w:pPr>
      <w:r>
        <w:t>Calibrador y pesas de manómetros de peso muerto</w:t>
      </w:r>
      <w:r w:rsidR="00195DAD">
        <w:t xml:space="preserve"> (</w:t>
      </w:r>
      <w:r>
        <w:t>parte de F1-11</w:t>
      </w:r>
      <w:r w:rsidR="00195DAD">
        <w:t>): suelto, con pie propio</w:t>
      </w:r>
    </w:p>
    <w:p w14:paraId="56EE8164" w14:textId="0282C08C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Aparatos de presión hidrostática y pesas</w:t>
      </w:r>
      <w:r w:rsidR="00195DAD">
        <w:t xml:space="preserve"> (</w:t>
      </w:r>
      <w:r>
        <w:t>F1-12</w:t>
      </w:r>
      <w:r w:rsidR="00195DAD">
        <w:t>): suelto, con pie propio</w:t>
      </w:r>
    </w:p>
    <w:p w14:paraId="16E6BAD0" w14:textId="01B7C47E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 xml:space="preserve">Aparato de Pascal y tubos </w:t>
      </w:r>
      <w:r w:rsidR="00195DAD">
        <w:t>con distintas formas: suelto, con pie propio</w:t>
      </w:r>
    </w:p>
    <w:p w14:paraId="2C997D1A" w14:textId="7319F81D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Vaso de precipitados de 600 ml</w:t>
      </w:r>
      <w:r w:rsidR="00195DAD">
        <w:t>: suelto</w:t>
      </w:r>
    </w:p>
    <w:p w14:paraId="1761297C" w14:textId="416908CB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Cronómetro</w:t>
      </w:r>
      <w:r w:rsidR="00195DAD">
        <w:t>: suelto</w:t>
      </w:r>
    </w:p>
    <w:p w14:paraId="05814820" w14:textId="1B6E7CA3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Aparato capilar de placas paralelas</w:t>
      </w:r>
      <w:r w:rsidR="00195DAD">
        <w:t>: suelto, con pie propio</w:t>
      </w:r>
    </w:p>
    <w:p w14:paraId="4BB8B171" w14:textId="67F8E02E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Aparato de tubo</w:t>
      </w:r>
      <w:r w:rsidR="00DB6781">
        <w:t>s</w:t>
      </w:r>
      <w:r>
        <w:t xml:space="preserve"> capilar</w:t>
      </w:r>
      <w:r w:rsidR="00DB6781">
        <w:t>es</w:t>
      </w:r>
      <w:r w:rsidR="00195DAD">
        <w:t>: suelto, con pie propio</w:t>
      </w:r>
    </w:p>
    <w:p w14:paraId="077C1046" w14:textId="439ECBB6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Balanza de palanca</w:t>
      </w:r>
      <w:r w:rsidR="00195DAD">
        <w:t>: suelta, con pie propio</w:t>
      </w:r>
    </w:p>
    <w:p w14:paraId="3D890733" w14:textId="0B8730D7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 xml:space="preserve">Recipiente de desplazamiento, </w:t>
      </w:r>
      <w:r w:rsidR="00195DAD">
        <w:t>buzo</w:t>
      </w:r>
      <w:r>
        <w:t xml:space="preserve"> y cilindro</w:t>
      </w:r>
      <w:r w:rsidR="00195DAD">
        <w:t>: sueltos, con pie propio</w:t>
      </w:r>
    </w:p>
    <w:p w14:paraId="4CE60B17" w14:textId="108A277E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 xml:space="preserve">Aparato </w:t>
      </w:r>
      <w:r w:rsidR="00272848">
        <w:t xml:space="preserve">para estudiar </w:t>
      </w:r>
      <w:r>
        <w:t>altura metacéntric</w:t>
      </w:r>
      <w:r w:rsidR="00272848">
        <w:t>a (F1-14): suelto</w:t>
      </w:r>
    </w:p>
    <w:p w14:paraId="304449D9" w14:textId="2C4ED290" w:rsidR="00015FC5" w:rsidRDefault="00272848" w:rsidP="00015FC5">
      <w:pPr>
        <w:pStyle w:val="Prrafodelista"/>
        <w:numPr>
          <w:ilvl w:val="0"/>
          <w:numId w:val="18"/>
        </w:numPr>
        <w:spacing w:before="180"/>
      </w:pPr>
      <w:r>
        <w:t>Vaso graduado: suelto</w:t>
      </w:r>
    </w:p>
    <w:p w14:paraId="46D1D12A" w14:textId="5D77BF2F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Termómetro</w:t>
      </w:r>
      <w:r w:rsidR="00272848">
        <w:t>: montado en el tablero</w:t>
      </w:r>
    </w:p>
    <w:p w14:paraId="7A520F19" w14:textId="684648BE" w:rsidR="00015FC5" w:rsidRDefault="00015FC5" w:rsidP="00015FC5">
      <w:pPr>
        <w:pStyle w:val="Prrafodelista"/>
        <w:numPr>
          <w:ilvl w:val="0"/>
          <w:numId w:val="18"/>
        </w:numPr>
        <w:spacing w:before="180"/>
      </w:pPr>
      <w:r>
        <w:t>Bomba de aire</w:t>
      </w:r>
      <w:r w:rsidR="00272848">
        <w:t>: montada en el tablero</w:t>
      </w:r>
    </w:p>
    <w:p w14:paraId="673D4517" w14:textId="77777777" w:rsidR="00BB67E0" w:rsidRDefault="00015FC5" w:rsidP="00015FC5">
      <w:pPr>
        <w:pStyle w:val="Prrafodelista"/>
        <w:numPr>
          <w:ilvl w:val="0"/>
          <w:numId w:val="18"/>
        </w:numPr>
        <w:tabs>
          <w:tab w:val="clear" w:pos="9979"/>
        </w:tabs>
        <w:spacing w:before="0" w:after="160" w:line="259" w:lineRule="auto"/>
      </w:pPr>
      <w:r>
        <w:t>Nivel de burbuja circular</w:t>
      </w:r>
      <w:r w:rsidR="00272848">
        <w:t>: suelto</w:t>
      </w:r>
    </w:p>
    <w:p w14:paraId="19A744A9" w14:textId="597CA3DC" w:rsidR="00B63594" w:rsidRDefault="00BB67E0" w:rsidP="00BB67E0">
      <w:pPr>
        <w:pStyle w:val="Ttulo2"/>
      </w:pPr>
      <w:r>
        <w:t>Diagrama</w:t>
      </w:r>
    </w:p>
    <w:p w14:paraId="6EBB4984" w14:textId="77777777" w:rsidR="00015FC5" w:rsidRDefault="00015FC5" w:rsidP="00BB67E0">
      <w:pPr>
        <w:jc w:val="center"/>
      </w:pPr>
      <w:r>
        <w:rPr>
          <w:noProof/>
        </w:rPr>
        <w:drawing>
          <wp:inline distT="0" distB="0" distL="0" distR="0" wp14:anchorId="0012CF7D" wp14:editId="01E064CC">
            <wp:extent cx="6124575" cy="3490806"/>
            <wp:effectExtent l="0" t="0" r="0" b="0"/>
            <wp:docPr id="14369707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970729" name="Imagen 14369707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49" cy="35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4990" w14:textId="3FABFC2A" w:rsidR="00BB67E0" w:rsidRDefault="00015FC5" w:rsidP="00015FC5">
      <w:pPr>
        <w:jc w:val="center"/>
      </w:pPr>
      <w:r>
        <w:t>Figura 2 – Diagrama de tuberías y válvulas de aislamiento relevantes</w:t>
      </w:r>
    </w:p>
    <w:p w14:paraId="43F5A230" w14:textId="77777777" w:rsidR="00BB67E0" w:rsidRDefault="00BB67E0">
      <w:pPr>
        <w:tabs>
          <w:tab w:val="clear" w:pos="9979"/>
        </w:tabs>
        <w:spacing w:before="0" w:after="160" w:line="259" w:lineRule="auto"/>
        <w:jc w:val="left"/>
      </w:pPr>
      <w:r>
        <w:br w:type="page"/>
      </w:r>
    </w:p>
    <w:p w14:paraId="626BA304" w14:textId="5B958BC4" w:rsidR="00307675" w:rsidRDefault="00307675" w:rsidP="00307675">
      <w:pPr>
        <w:spacing w:before="180"/>
      </w:pPr>
      <w:r>
        <w:lastRenderedPageBreak/>
        <w:t xml:space="preserve">El equipo está montado sobre un </w:t>
      </w:r>
      <w:r w:rsidR="00015FC5">
        <w:t xml:space="preserve">bastidor </w:t>
      </w:r>
      <w:r>
        <w:t>con estructura de acero y ruedas.</w:t>
      </w:r>
    </w:p>
    <w:p w14:paraId="5659C557" w14:textId="2E58AA95" w:rsidR="00307675" w:rsidRDefault="00307675" w:rsidP="00307675">
      <w:pPr>
        <w:spacing w:before="180"/>
      </w:pPr>
      <w:r>
        <w:t>El agua se almacena en un depósito de polietileno situado en el estante inferior del banco</w:t>
      </w:r>
      <w:r w:rsidR="00015FC5">
        <w:t xml:space="preserve"> (Tanque 1)</w:t>
      </w:r>
      <w:r>
        <w:t>.</w:t>
      </w:r>
    </w:p>
    <w:p w14:paraId="4CF4823B" w14:textId="4983087B" w:rsidR="00307675" w:rsidRDefault="00307675" w:rsidP="00307675">
      <w:pPr>
        <w:spacing w:before="180"/>
      </w:pPr>
      <w:r>
        <w:t>Se utiliza una bomba manual de desplazamiento positivo, situada sobre la mesa de trabajo, para transferir agua desde el tanque de almacenamiento a un tanque elevado de superficie abierta</w:t>
      </w:r>
      <w:r w:rsidR="00DB6781">
        <w:t xml:space="preserve"> (Tanque 2)</w:t>
      </w:r>
      <w:r>
        <w:t>.</w:t>
      </w:r>
    </w:p>
    <w:p w14:paraId="5B34F34A" w14:textId="1790BF49" w:rsidR="00307675" w:rsidRDefault="00307675" w:rsidP="00307675">
      <w:pPr>
        <w:spacing w:before="180"/>
      </w:pPr>
      <w:r>
        <w:t xml:space="preserve">Este último tanque está conectado </w:t>
      </w:r>
      <w:r w:rsidR="00DB6781">
        <w:t xml:space="preserve">permanentemente </w:t>
      </w:r>
      <w:r>
        <w:t xml:space="preserve">a una </w:t>
      </w:r>
      <w:r w:rsidR="00DB6781">
        <w:t xml:space="preserve">batería </w:t>
      </w:r>
      <w:r>
        <w:t>de tubos de vidrio para estudios de superficie libre.</w:t>
      </w:r>
    </w:p>
    <w:p w14:paraId="19664044" w14:textId="37E96D1E" w:rsidR="00307675" w:rsidRDefault="00307675" w:rsidP="00307675">
      <w:pPr>
        <w:spacing w:before="180"/>
      </w:pPr>
      <w:r>
        <w:t>Alternativamente, el agua se puede transferir mediante otra bomba manual de desplazamiento positivo directamente a un</w:t>
      </w:r>
      <w:r w:rsidR="00C22661">
        <w:t xml:space="preserve">a bacha </w:t>
      </w:r>
      <w:r>
        <w:t>de plástico que está empotrad</w:t>
      </w:r>
      <w:r w:rsidR="00C22661">
        <w:t>a</w:t>
      </w:r>
      <w:r>
        <w:t xml:space="preserve"> en la superficie de trabajo para que los experimentos de mesa se puedan realizar sin derrames.</w:t>
      </w:r>
    </w:p>
    <w:p w14:paraId="02BC3724" w14:textId="29F3E68B" w:rsidR="00307675" w:rsidRDefault="00307675" w:rsidP="00307675">
      <w:pPr>
        <w:spacing w:before="180"/>
      </w:pPr>
      <w:r>
        <w:t xml:space="preserve">Todo el exceso de agua regresa al tanque de almacenamiento a través del desagüe </w:t>
      </w:r>
      <w:r w:rsidR="00C22661">
        <w:t>de la bacha</w:t>
      </w:r>
      <w:r>
        <w:t>.</w:t>
      </w:r>
    </w:p>
    <w:p w14:paraId="0CDD19AA" w14:textId="41D14404" w:rsidR="00877781" w:rsidRDefault="00307675" w:rsidP="00307675">
      <w:pPr>
        <w:spacing w:before="180"/>
      </w:pPr>
      <w:r>
        <w:t xml:space="preserve">El resto del equipo consta de aparatos individuales que se </w:t>
      </w:r>
      <w:r w:rsidR="00C22661">
        <w:t xml:space="preserve">pueden usar </w:t>
      </w:r>
      <w:r>
        <w:t xml:space="preserve">de </w:t>
      </w:r>
      <w:r w:rsidR="00C22661">
        <w:t>man</w:t>
      </w:r>
      <w:r w:rsidR="009C055C">
        <w:t>e</w:t>
      </w:r>
      <w:r w:rsidR="00C22661">
        <w:t xml:space="preserve">ra </w:t>
      </w:r>
      <w:r>
        <w:t xml:space="preserve">independiente o </w:t>
      </w:r>
      <w:r w:rsidR="00CD1C82">
        <w:t>fijados al</w:t>
      </w:r>
      <w:r>
        <w:t xml:space="preserve"> tablero del banco.</w:t>
      </w:r>
    </w:p>
    <w:p w14:paraId="1C0E2347" w14:textId="77777777" w:rsidR="009C055C" w:rsidRDefault="009C055C" w:rsidP="009C055C">
      <w:pPr>
        <w:pStyle w:val="Ttulo1"/>
      </w:pPr>
      <w:r>
        <w:t>Instalación</w:t>
      </w:r>
    </w:p>
    <w:p w14:paraId="069AC42C" w14:textId="60CA3F1D" w:rsidR="009C055C" w:rsidRDefault="009C055C" w:rsidP="009C055C">
      <w:pPr>
        <w:pStyle w:val="Ttulo2"/>
      </w:pPr>
      <w:r w:rsidRPr="009C055C">
        <w:t>Aviso</w:t>
      </w:r>
    </w:p>
    <w:p w14:paraId="1F7C22BD" w14:textId="3F38B97B" w:rsidR="009C055C" w:rsidRPr="009C055C" w:rsidRDefault="009C055C" w:rsidP="009C055C">
      <w:pPr>
        <w:spacing w:before="180"/>
      </w:pPr>
      <w:r w:rsidRPr="009C055C">
        <w:t xml:space="preserve">Antes de operar el equipo, </w:t>
      </w:r>
      <w:r w:rsidR="00404254">
        <w:t xml:space="preserve">éste </w:t>
      </w:r>
      <w:r w:rsidRPr="009C055C">
        <w:t>se debe desembalar, ensamblar e instalar como se describe en los pasos que siguen.</w:t>
      </w:r>
    </w:p>
    <w:p w14:paraId="784D5D5C" w14:textId="0D7B62B6" w:rsidR="009C055C" w:rsidRPr="009C055C" w:rsidRDefault="009C055C" w:rsidP="009C055C">
      <w:pPr>
        <w:spacing w:before="180"/>
      </w:pPr>
      <w:r w:rsidRPr="009C055C">
        <w:t xml:space="preserve">El uso seguro del equipo depende de </w:t>
      </w:r>
      <w:r w:rsidR="00404254">
        <w:t xml:space="preserve">que respeten </w:t>
      </w:r>
      <w:r w:rsidRPr="009C055C">
        <w:t>el procedimiento de instalación correcto.</w:t>
      </w:r>
    </w:p>
    <w:p w14:paraId="2BEA9700" w14:textId="61AFA33B" w:rsidR="009C055C" w:rsidRDefault="009C055C" w:rsidP="009C055C">
      <w:pPr>
        <w:pStyle w:val="Ttulo2"/>
      </w:pPr>
      <w:r w:rsidRPr="009C055C">
        <w:t>Instalación del equipo</w:t>
      </w:r>
    </w:p>
    <w:p w14:paraId="4B03952C" w14:textId="25309524" w:rsidR="009C055C" w:rsidRPr="009C055C" w:rsidRDefault="009C055C" w:rsidP="009C055C">
      <w:pPr>
        <w:spacing w:before="180"/>
      </w:pPr>
      <w:r w:rsidRPr="009C055C">
        <w:t xml:space="preserve">El equipo se suministra con la unidad de banco como subconjunto principal y la cristalería </w:t>
      </w:r>
      <w:r w:rsidR="00404254">
        <w:t xml:space="preserve">más </w:t>
      </w:r>
      <w:r>
        <w:t xml:space="preserve">los equipos </w:t>
      </w:r>
      <w:r w:rsidRPr="009C055C">
        <w:t xml:space="preserve">asociados </w:t>
      </w:r>
      <w:r w:rsidR="00404254">
        <w:t xml:space="preserve">en un embalaje </w:t>
      </w:r>
      <w:r w:rsidRPr="009C055C">
        <w:t>separado.</w:t>
      </w:r>
    </w:p>
    <w:p w14:paraId="637E9179" w14:textId="5E1AC52B" w:rsidR="009C055C" w:rsidRPr="009C055C" w:rsidRDefault="009C055C" w:rsidP="009C055C">
      <w:pPr>
        <w:spacing w:before="180"/>
      </w:pPr>
      <w:r w:rsidRPr="009C055C">
        <w:t xml:space="preserve">Los artículos individuales deben colocarse en el banco según </w:t>
      </w:r>
      <w:r>
        <w:t xml:space="preserve">mostramos en </w:t>
      </w:r>
      <w:r w:rsidRPr="009C055C">
        <w:t>la Figura 1.</w:t>
      </w:r>
    </w:p>
    <w:p w14:paraId="099FBCA8" w14:textId="7C2FF127" w:rsidR="009C055C" w:rsidRPr="009C055C" w:rsidRDefault="009C055C" w:rsidP="009C055C">
      <w:pPr>
        <w:spacing w:before="180"/>
      </w:pPr>
      <w:r w:rsidRPr="009C055C">
        <w:t xml:space="preserve">Varios elementos deben fijarse al tablero utilizando los tornillos </w:t>
      </w:r>
      <w:r w:rsidR="00404254">
        <w:t>incluidos</w:t>
      </w:r>
      <w:r w:rsidRPr="009C055C">
        <w:t>.</w:t>
      </w:r>
    </w:p>
    <w:p w14:paraId="7469F67A" w14:textId="2021A9D2" w:rsidR="009C055C" w:rsidRDefault="009C055C" w:rsidP="009C055C">
      <w:pPr>
        <w:pStyle w:val="Ttulo2"/>
      </w:pPr>
      <w:r w:rsidRPr="009C055C">
        <w:t>Puesta en servicio</w:t>
      </w:r>
    </w:p>
    <w:p w14:paraId="50152982" w14:textId="5890264E" w:rsidR="009C055C" w:rsidRPr="009C055C" w:rsidRDefault="00404254" w:rsidP="009C055C">
      <w:pPr>
        <w:spacing w:before="180"/>
      </w:pPr>
      <w:r>
        <w:t xml:space="preserve">Ubicá el banco </w:t>
      </w:r>
      <w:r w:rsidR="009C055C" w:rsidRPr="009C055C">
        <w:t>en un lugar conveniente</w:t>
      </w:r>
      <w:r>
        <w:t>,</w:t>
      </w:r>
      <w:r w:rsidR="009C055C" w:rsidRPr="009C055C">
        <w:t xml:space="preserve"> sobre un suelo nivelado</w:t>
      </w:r>
      <w:r>
        <w:t>, con buen espacio de circulación a su alrededor</w:t>
      </w:r>
      <w:r w:rsidR="009C055C" w:rsidRPr="009C055C">
        <w:t xml:space="preserve"> y </w:t>
      </w:r>
      <w:r>
        <w:t>a continuación trabá sus ruedas</w:t>
      </w:r>
      <w:r w:rsidR="009C055C" w:rsidRPr="009C055C">
        <w:t>.</w:t>
      </w:r>
    </w:p>
    <w:p w14:paraId="56E64E12" w14:textId="018FAB60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 w:rsidRPr="009C055C">
        <w:t>C</w:t>
      </w:r>
      <w:r>
        <w:t>errá</w:t>
      </w:r>
      <w:r w:rsidRPr="009C055C">
        <w:t xml:space="preserve"> la válvula V7 en la base del </w:t>
      </w:r>
      <w:r>
        <w:t>tanque nº 1 (</w:t>
      </w:r>
      <w:r w:rsidRPr="009C055C">
        <w:t>sumidero</w:t>
      </w:r>
      <w:r>
        <w:t>).</w:t>
      </w:r>
    </w:p>
    <w:p w14:paraId="5C4DED51" w14:textId="5A3E83FD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 w:rsidRPr="009C055C">
        <w:t>Llen</w:t>
      </w:r>
      <w:r>
        <w:t>á</w:t>
      </w:r>
      <w:r w:rsidRPr="009C055C">
        <w:t xml:space="preserve"> e</w:t>
      </w:r>
      <w:r>
        <w:t>ste tanque con agua limpia.</w:t>
      </w:r>
    </w:p>
    <w:p w14:paraId="34962208" w14:textId="4904773E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>
        <w:t>Accioná</w:t>
      </w:r>
      <w:r w:rsidRPr="009C055C">
        <w:t xml:space="preserve"> la bomba manual de desplazamiento positivo (</w:t>
      </w:r>
      <w:r w:rsidR="00404254">
        <w:t>B</w:t>
      </w:r>
      <w:r w:rsidRPr="009C055C">
        <w:t xml:space="preserve">) y </w:t>
      </w:r>
      <w:r>
        <w:t xml:space="preserve">asegurate de </w:t>
      </w:r>
      <w:r w:rsidRPr="009C055C">
        <w:t xml:space="preserve">que llegue agua </w:t>
      </w:r>
      <w:r>
        <w:t>a la bacha</w:t>
      </w:r>
      <w:r w:rsidRPr="009C055C">
        <w:t>.</w:t>
      </w:r>
    </w:p>
    <w:p w14:paraId="7EA44C11" w14:textId="260473C8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 w:rsidRPr="009C055C">
        <w:t>Abr</w:t>
      </w:r>
      <w:r>
        <w:t>í</w:t>
      </w:r>
      <w:r w:rsidRPr="009C055C">
        <w:t xml:space="preserve"> el desagüe de</w:t>
      </w:r>
      <w:r>
        <w:t xml:space="preserve"> la bacha </w:t>
      </w:r>
      <w:r w:rsidRPr="009C055C">
        <w:t xml:space="preserve">y </w:t>
      </w:r>
      <w:r>
        <w:t>dejá</w:t>
      </w:r>
      <w:r w:rsidRPr="009C055C">
        <w:t xml:space="preserve"> que el agua regrese al sumidero.</w:t>
      </w:r>
    </w:p>
    <w:p w14:paraId="00072D1A" w14:textId="678588D0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 w:rsidRPr="009C055C">
        <w:t>C</w:t>
      </w:r>
      <w:r>
        <w:t xml:space="preserve">errá </w:t>
      </w:r>
      <w:r w:rsidRPr="009C055C">
        <w:t>las válvulas V2, V3 y V4.</w:t>
      </w:r>
    </w:p>
    <w:p w14:paraId="2E59FAEA" w14:textId="5D604D34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 w:rsidRPr="009C055C">
        <w:t>Abr</w:t>
      </w:r>
      <w:r>
        <w:t>í</w:t>
      </w:r>
      <w:r w:rsidRPr="009C055C">
        <w:t xml:space="preserve"> la válvula V1.</w:t>
      </w:r>
    </w:p>
    <w:p w14:paraId="4CFBACE3" w14:textId="6F2D0437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>
        <w:t>Accioná</w:t>
      </w:r>
      <w:r w:rsidRPr="009C055C">
        <w:t xml:space="preserve"> la bomba manual de desplazamiento positivo (A) y </w:t>
      </w:r>
      <w:r>
        <w:t xml:space="preserve">asegurate de </w:t>
      </w:r>
      <w:r w:rsidRPr="009C055C">
        <w:t>que el agua llegue al tanque n</w:t>
      </w:r>
      <w:r>
        <w:t>º</w:t>
      </w:r>
      <w:r w:rsidRPr="009C055C">
        <w:t xml:space="preserve"> 2.</w:t>
      </w:r>
    </w:p>
    <w:p w14:paraId="6E246BAF" w14:textId="29829C91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 w:rsidRPr="009C055C">
        <w:t>Abr</w:t>
      </w:r>
      <w:r>
        <w:t>í</w:t>
      </w:r>
      <w:r w:rsidRPr="009C055C">
        <w:t xml:space="preserve"> las válvulas V2 y V3 y </w:t>
      </w:r>
      <w:r>
        <w:t>verificá</w:t>
      </w:r>
      <w:r w:rsidRPr="009C055C">
        <w:t xml:space="preserve"> que el tanque no. 2 </w:t>
      </w:r>
      <w:r w:rsidR="00404254">
        <w:t>se desagote en la bacha</w:t>
      </w:r>
      <w:r w:rsidRPr="009C055C">
        <w:t>.</w:t>
      </w:r>
    </w:p>
    <w:p w14:paraId="06441602" w14:textId="306F006B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>
        <w:t>Abrí</w:t>
      </w:r>
      <w:r w:rsidRPr="009C055C">
        <w:t xml:space="preserve"> el desagüe </w:t>
      </w:r>
      <w:r w:rsidR="00404254">
        <w:t xml:space="preserve">de la bacha </w:t>
      </w:r>
      <w:r w:rsidRPr="009C055C">
        <w:t xml:space="preserve">y </w:t>
      </w:r>
      <w:r w:rsidR="00404254">
        <w:t xml:space="preserve">dejá </w:t>
      </w:r>
      <w:r w:rsidRPr="009C055C">
        <w:t>que el agua regrese al sumidero.</w:t>
      </w:r>
    </w:p>
    <w:p w14:paraId="7D0D00E5" w14:textId="2F899207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>
        <w:t>Abrí</w:t>
      </w:r>
      <w:r w:rsidRPr="009C055C">
        <w:t xml:space="preserve"> la válvula V9.</w:t>
      </w:r>
    </w:p>
    <w:p w14:paraId="76E85DE7" w14:textId="061F52C7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>
        <w:t>Cerrá</w:t>
      </w:r>
      <w:r w:rsidRPr="009C055C">
        <w:t xml:space="preserve"> la válvula V10.</w:t>
      </w:r>
    </w:p>
    <w:p w14:paraId="4B676BEA" w14:textId="77777777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 w:rsidRPr="009C055C">
        <w:t>Los dos manómetros de mercurio deben llenarse con mercurio limpio insertando una jeringa a través de los recipientes de recogida en la parte superior de los manómetros.</w:t>
      </w:r>
    </w:p>
    <w:p w14:paraId="59A3D9BB" w14:textId="629E433A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>
        <w:lastRenderedPageBreak/>
        <w:t>Deberás cargar</w:t>
      </w:r>
      <w:r w:rsidRPr="009C055C">
        <w:t xml:space="preserve"> mercurio hasta que el nivel en ambas </w:t>
      </w:r>
      <w:r>
        <w:t xml:space="preserve">ramas </w:t>
      </w:r>
      <w:r w:rsidRPr="009C055C">
        <w:t>sea de 250 mm.</w:t>
      </w:r>
    </w:p>
    <w:p w14:paraId="7DE4C015" w14:textId="5841CE1A" w:rsidR="009C055C" w:rsidRPr="009C055C" w:rsidRDefault="009C055C" w:rsidP="009C055C">
      <w:pPr>
        <w:pStyle w:val="Prrafodelista"/>
        <w:numPr>
          <w:ilvl w:val="0"/>
          <w:numId w:val="19"/>
        </w:numPr>
        <w:spacing w:before="180"/>
      </w:pPr>
      <w:r>
        <w:t xml:space="preserve">También deberás llenar con agua todas las </w:t>
      </w:r>
      <w:r w:rsidRPr="009C055C">
        <w:t xml:space="preserve">tuberías de interconexión </w:t>
      </w:r>
      <w:r>
        <w:t>y purgarlas de burbujas antes de iniciar cualquier trabajo práctico.</w:t>
      </w:r>
    </w:p>
    <w:p w14:paraId="511F1FE6" w14:textId="4CB67DCA" w:rsidR="009C055C" w:rsidRDefault="009C055C" w:rsidP="009C055C">
      <w:pPr>
        <w:spacing w:before="180"/>
      </w:pPr>
      <w:r w:rsidRPr="009C055C">
        <w:t>Para evitar posibles problemas durante el envío y evitar daños al barómetro durante el transporte, el barómetro suministrado con el F9092 (Banco de hidrostática y propiedades de fluidos) no se llena con mercurio antes del envío.</w:t>
      </w:r>
      <w:r>
        <w:t xml:space="preserve"> A</w:t>
      </w:r>
      <w:r w:rsidRPr="009C055C">
        <w:t xml:space="preserve">ntes de </w:t>
      </w:r>
      <w:r>
        <w:t xml:space="preserve">usarlo </w:t>
      </w:r>
      <w:r w:rsidRPr="009C055C">
        <w:t xml:space="preserve">será necesario </w:t>
      </w:r>
      <w:r>
        <w:t>re</w:t>
      </w:r>
      <w:r w:rsidRPr="009C055C">
        <w:t>llenar</w:t>
      </w:r>
      <w:r>
        <w:t xml:space="preserve">lo </w:t>
      </w:r>
      <w:r w:rsidRPr="009C055C">
        <w:t>con mercurio limpio (no suministrado por Armfield).</w:t>
      </w:r>
    </w:p>
    <w:p w14:paraId="325EBD2A" w14:textId="77777777" w:rsidR="009528E8" w:rsidRDefault="009528E8" w:rsidP="009528E8">
      <w:pPr>
        <w:pStyle w:val="Ttulo1"/>
      </w:pPr>
      <w:r>
        <w:t>Especificaciones del equipo</w:t>
      </w:r>
    </w:p>
    <w:p w14:paraId="3B79BFD6" w14:textId="77777777" w:rsidR="009528E8" w:rsidRDefault="009528E8" w:rsidP="009528E8">
      <w:pPr>
        <w:pStyle w:val="Ttulo2"/>
      </w:pPr>
      <w:r>
        <w:t>Condiciones ambientales</w:t>
      </w:r>
    </w:p>
    <w:p w14:paraId="74D618B6" w14:textId="49F0A267" w:rsidR="009528E8" w:rsidRDefault="009528E8" w:rsidP="009528E8">
      <w:pPr>
        <w:spacing w:before="180"/>
      </w:pPr>
      <w:r>
        <w:t xml:space="preserve">Este equipo ha sido diseñado para funcionar en las condiciones ambientales listadas a continuación. La operación fuera de estas condiciones puede resultar en una reducción del rendimiento, daños al equipo o peligro para </w:t>
      </w:r>
      <w:r w:rsidR="005F2FD6">
        <w:t>los</w:t>
      </w:r>
      <w:r>
        <w:t xml:space="preserve"> operador</w:t>
      </w:r>
      <w:r w:rsidR="005F2FD6">
        <w:t>es</w:t>
      </w:r>
      <w:r>
        <w:t>.</w:t>
      </w:r>
    </w:p>
    <w:p w14:paraId="547EFBFF" w14:textId="6F74BEFD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Uso en interiores</w:t>
      </w:r>
      <w:r w:rsidR="005F2FD6">
        <w:t>.</w:t>
      </w:r>
    </w:p>
    <w:p w14:paraId="26964579" w14:textId="734BDAC7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Altitud hasta 2000 m</w:t>
      </w:r>
    </w:p>
    <w:p w14:paraId="6DF3F2A5" w14:textId="77777777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Temperatura 5°C a 40°C</w:t>
      </w:r>
    </w:p>
    <w:p w14:paraId="42B08CEB" w14:textId="77777777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Humedad relativa máxima 80% para temperaturas de hasta 31°C, disminuyendo linealmente hasta 50% de humedad relativa a 40°C</w:t>
      </w:r>
    </w:p>
    <w:p w14:paraId="0A1AD948" w14:textId="77777777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Fluctuaciones de la tensión de alimentación de red de hasta ±10 % de la tensión nominal</w:t>
      </w:r>
    </w:p>
    <w:p w14:paraId="430E64B1" w14:textId="6CCFF49B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Sobretensiones transitorias típicamente presentes en la red eléctrica</w:t>
      </w:r>
      <w:r w:rsidR="005F2FD6">
        <w:t>.</w:t>
      </w:r>
    </w:p>
    <w:p w14:paraId="1A39A35C" w14:textId="77777777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Nota: El nivel normal de sobretensiones transitorias es la categoría II de resistencia al impulso (sobretensión) de IEC 60364-4-443; gramo.</w:t>
      </w:r>
    </w:p>
    <w:p w14:paraId="303CB7B8" w14:textId="3B380717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Grado de contaminación 2</w:t>
      </w:r>
      <w:r w:rsidR="005F2FD6">
        <w:t>.</w:t>
      </w:r>
    </w:p>
    <w:p w14:paraId="2460E9A2" w14:textId="77777777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Normalmente sólo se produce contaminación no conductora.</w:t>
      </w:r>
    </w:p>
    <w:p w14:paraId="34EFB2E2" w14:textId="77777777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Es de esperar una conductividad temporal causada por la condensación.</w:t>
      </w:r>
    </w:p>
    <w:p w14:paraId="345E7AAA" w14:textId="6AAE696E" w:rsidR="009528E8" w:rsidRDefault="009528E8" w:rsidP="009528E8">
      <w:pPr>
        <w:pStyle w:val="Prrafodelista"/>
        <w:numPr>
          <w:ilvl w:val="0"/>
          <w:numId w:val="20"/>
        </w:numPr>
        <w:spacing w:before="180"/>
      </w:pPr>
      <w:r>
        <w:t>Típico de un entorno de oficina o laboratorio.</w:t>
      </w:r>
    </w:p>
    <w:p w14:paraId="71C7E28B" w14:textId="698E4125" w:rsidR="00871EE0" w:rsidRDefault="00871EE0" w:rsidP="00871EE0">
      <w:pPr>
        <w:pStyle w:val="Ttulo1"/>
      </w:pPr>
      <w:r>
        <w:t>Mantenimiento de rutina</w:t>
      </w:r>
    </w:p>
    <w:p w14:paraId="47BA621A" w14:textId="6D0E337D" w:rsidR="00871EE0" w:rsidRPr="00871EE0" w:rsidRDefault="00871EE0" w:rsidP="00871EE0">
      <w:pPr>
        <w:pStyle w:val="Ttulo2"/>
      </w:pPr>
      <w:r>
        <w:t>Responsabilidad</w:t>
      </w:r>
    </w:p>
    <w:p w14:paraId="624CC86E" w14:textId="17D35C6E" w:rsidR="00871EE0" w:rsidRDefault="00871EE0" w:rsidP="00871EE0">
      <w:pPr>
        <w:spacing w:before="180"/>
      </w:pPr>
      <w:r>
        <w:t>Para preservar la vida útil y el funcionamiento eficiente del equipo, es importante que este reciba el mantenimiento adecuado.</w:t>
      </w:r>
    </w:p>
    <w:p w14:paraId="36B21541" w14:textId="174902D0" w:rsidR="00871EE0" w:rsidRDefault="00871EE0" w:rsidP="00871EE0">
      <w:pPr>
        <w:spacing w:before="180"/>
      </w:pPr>
      <w:r>
        <w:t>El mantenimiento regular del equipo es responsabilidad del usuario final y debe ser realizado por personal calificado que comprenda su funcionamiento.</w:t>
      </w:r>
    </w:p>
    <w:p w14:paraId="2CB945B7" w14:textId="77777777" w:rsidR="00871EE0" w:rsidRDefault="00871EE0" w:rsidP="00871EE0">
      <w:pPr>
        <w:pStyle w:val="Ttulo2"/>
      </w:pPr>
      <w:r>
        <w:t>General</w:t>
      </w:r>
    </w:p>
    <w:p w14:paraId="68E63886" w14:textId="145BDF7A" w:rsidR="00871EE0" w:rsidRDefault="00871EE0" w:rsidP="00871EE0">
      <w:pPr>
        <w:spacing w:before="180"/>
      </w:pPr>
      <w:r>
        <w:t xml:space="preserve">Además del mantenimiento regular, se deben observar </w:t>
      </w:r>
      <w:r w:rsidR="005F2FD6">
        <w:t>los aspectos siguientes</w:t>
      </w:r>
      <w:r>
        <w:t>:</w:t>
      </w:r>
    </w:p>
    <w:p w14:paraId="63136BAE" w14:textId="14F77DF9" w:rsidR="00871EE0" w:rsidRDefault="005F2FD6" w:rsidP="00871EE0">
      <w:pPr>
        <w:pStyle w:val="Prrafodelista"/>
        <w:numPr>
          <w:ilvl w:val="0"/>
          <w:numId w:val="23"/>
        </w:numPr>
        <w:spacing w:before="180"/>
      </w:pPr>
      <w:r>
        <w:t xml:space="preserve">Hay que </w:t>
      </w:r>
      <w:r w:rsidR="00871EE0">
        <w:t>drenar el agua del equipo cuando no esté en uso.</w:t>
      </w:r>
    </w:p>
    <w:p w14:paraId="39AF4612" w14:textId="65DF6E84" w:rsidR="00871EE0" w:rsidRDefault="00871EE0" w:rsidP="00871EE0">
      <w:pPr>
        <w:pStyle w:val="Prrafodelista"/>
        <w:numPr>
          <w:ilvl w:val="0"/>
          <w:numId w:val="23"/>
        </w:numPr>
        <w:spacing w:before="180"/>
      </w:pPr>
      <w:r>
        <w:t xml:space="preserve">El exterior del equipo debe limpiarse periódicamente. </w:t>
      </w:r>
      <w:r w:rsidR="005F2FD6">
        <w:t>NO UTILICES ABRASIVOS NI DISOLVENTES.</w:t>
      </w:r>
    </w:p>
    <w:p w14:paraId="27348B2D" w14:textId="5BC0A377" w:rsidR="00871EE0" w:rsidRDefault="00871EE0" w:rsidP="00871EE0">
      <w:pPr>
        <w:pStyle w:val="Prrafodelista"/>
        <w:numPr>
          <w:ilvl w:val="0"/>
          <w:numId w:val="23"/>
        </w:numPr>
        <w:spacing w:before="180"/>
      </w:pPr>
      <w:r>
        <w:t xml:space="preserve">El tanque de polietileno debe limpiarse periódicamente para eliminar residuos y depósitos en las paredes. </w:t>
      </w:r>
      <w:r w:rsidR="005F2FD6">
        <w:t>NO UTILICES ABRASIVOS NI DISOLVENTES</w:t>
      </w:r>
      <w:r>
        <w:t>.</w:t>
      </w:r>
    </w:p>
    <w:p w14:paraId="2A2FB3F2" w14:textId="745E6F31" w:rsidR="00871EE0" w:rsidRDefault="00871EE0" w:rsidP="00871EE0">
      <w:pPr>
        <w:pStyle w:val="Prrafodelista"/>
        <w:numPr>
          <w:ilvl w:val="0"/>
          <w:numId w:val="23"/>
        </w:numPr>
        <w:spacing w:before="180"/>
      </w:pPr>
      <w:r>
        <w:t>El recipiente de desplazamiento (figura 1, item 19) debe secarse completamente después de su uso.</w:t>
      </w:r>
    </w:p>
    <w:p w14:paraId="6A13C1F5" w14:textId="77777777" w:rsidR="0090308B" w:rsidRDefault="0090308B" w:rsidP="0090308B">
      <w:pPr>
        <w:spacing w:before="180"/>
      </w:pPr>
    </w:p>
    <w:sectPr w:rsidR="0090308B" w:rsidSect="00F34C41">
      <w:headerReference w:type="default" r:id="rId12"/>
      <w:footerReference w:type="default" r:id="rId13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6E70" w14:textId="77777777" w:rsidR="001C355F" w:rsidRDefault="001C355F" w:rsidP="00E95877">
      <w:pPr>
        <w:spacing w:before="0"/>
      </w:pPr>
      <w:r>
        <w:separator/>
      </w:r>
    </w:p>
  </w:endnote>
  <w:endnote w:type="continuationSeparator" w:id="0">
    <w:p w14:paraId="0D081534" w14:textId="77777777" w:rsidR="001C355F" w:rsidRDefault="001C355F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52ED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4153192D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F55F" w14:textId="77777777" w:rsidR="001C355F" w:rsidRDefault="001C355F" w:rsidP="00E95877">
      <w:pPr>
        <w:spacing w:before="0"/>
      </w:pPr>
      <w:r>
        <w:separator/>
      </w:r>
    </w:p>
  </w:footnote>
  <w:footnote w:type="continuationSeparator" w:id="0">
    <w:p w14:paraId="05C95D9E" w14:textId="77777777" w:rsidR="001C355F" w:rsidRDefault="001C355F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62BF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3516CB58" wp14:editId="4683BDF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4pt;height:13.15pt;visibility:visible;mso-wrap-style:square" o:bullet="t">
        <v:imagedata r:id="rId1" o:title=""/>
      </v:shape>
    </w:pict>
  </w:numPicBullet>
  <w:abstractNum w:abstractNumId="0" w15:restartNumberingAfterBreak="0">
    <w:nsid w:val="09221C36"/>
    <w:multiLevelType w:val="hybridMultilevel"/>
    <w:tmpl w:val="0E2E7B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4230"/>
    <w:multiLevelType w:val="hybridMultilevel"/>
    <w:tmpl w:val="9FB8E9EE"/>
    <w:lvl w:ilvl="0" w:tplc="7A70BD4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59B"/>
    <w:multiLevelType w:val="hybridMultilevel"/>
    <w:tmpl w:val="062296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2EB"/>
    <w:multiLevelType w:val="hybridMultilevel"/>
    <w:tmpl w:val="5F1E6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063"/>
    <w:multiLevelType w:val="hybridMultilevel"/>
    <w:tmpl w:val="767E4A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387"/>
    <w:multiLevelType w:val="hybridMultilevel"/>
    <w:tmpl w:val="702E28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922"/>
    <w:multiLevelType w:val="hybridMultilevel"/>
    <w:tmpl w:val="B120CF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A3AC6"/>
    <w:multiLevelType w:val="hybridMultilevel"/>
    <w:tmpl w:val="0706DED4"/>
    <w:lvl w:ilvl="0" w:tplc="2B801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63D2E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43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6E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64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4B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C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0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A1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F356D8"/>
    <w:multiLevelType w:val="hybridMultilevel"/>
    <w:tmpl w:val="84CE686C"/>
    <w:lvl w:ilvl="0" w:tplc="F5AC8D7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376FC"/>
    <w:multiLevelType w:val="hybridMultilevel"/>
    <w:tmpl w:val="F6DA8D24"/>
    <w:lvl w:ilvl="0" w:tplc="7A70BD46">
      <w:start w:val="1"/>
      <w:numFmt w:val="lowerLetter"/>
      <w:lvlText w:val="(%1)"/>
      <w:lvlJc w:val="left"/>
      <w:pPr>
        <w:ind w:left="1019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8250D4"/>
    <w:multiLevelType w:val="hybridMultilevel"/>
    <w:tmpl w:val="FA16B36A"/>
    <w:lvl w:ilvl="0" w:tplc="DA4295E8">
      <w:start w:val="1"/>
      <w:numFmt w:val="lowerLetter"/>
      <w:lvlText w:val="(%1)"/>
      <w:lvlJc w:val="left"/>
      <w:pPr>
        <w:ind w:left="854" w:hanging="57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032E90"/>
    <w:multiLevelType w:val="hybridMultilevel"/>
    <w:tmpl w:val="10A6F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0AD3"/>
    <w:multiLevelType w:val="hybridMultilevel"/>
    <w:tmpl w:val="D83AD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81D60"/>
    <w:multiLevelType w:val="hybridMultilevel"/>
    <w:tmpl w:val="3EBC06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71E"/>
    <w:multiLevelType w:val="hybridMultilevel"/>
    <w:tmpl w:val="1BC24552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48E1239"/>
    <w:multiLevelType w:val="hybridMultilevel"/>
    <w:tmpl w:val="7128A6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41DB"/>
    <w:multiLevelType w:val="hybridMultilevel"/>
    <w:tmpl w:val="49A46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423D8"/>
    <w:multiLevelType w:val="hybridMultilevel"/>
    <w:tmpl w:val="10CCCA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75CA4"/>
    <w:multiLevelType w:val="hybridMultilevel"/>
    <w:tmpl w:val="31BE8FBA"/>
    <w:lvl w:ilvl="0" w:tplc="46DA902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C1F1D"/>
    <w:multiLevelType w:val="hybridMultilevel"/>
    <w:tmpl w:val="A6404E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A6591"/>
    <w:multiLevelType w:val="hybridMultilevel"/>
    <w:tmpl w:val="883843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14407"/>
    <w:multiLevelType w:val="hybridMultilevel"/>
    <w:tmpl w:val="44CA67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D09E0"/>
    <w:multiLevelType w:val="hybridMultilevel"/>
    <w:tmpl w:val="1EC84C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09221">
    <w:abstractNumId w:val="3"/>
  </w:num>
  <w:num w:numId="2" w16cid:durableId="989939455">
    <w:abstractNumId w:val="16"/>
  </w:num>
  <w:num w:numId="3" w16cid:durableId="1113981099">
    <w:abstractNumId w:val="1"/>
  </w:num>
  <w:num w:numId="4" w16cid:durableId="167208733">
    <w:abstractNumId w:val="7"/>
  </w:num>
  <w:num w:numId="5" w16cid:durableId="1180124022">
    <w:abstractNumId w:val="9"/>
  </w:num>
  <w:num w:numId="6" w16cid:durableId="626663915">
    <w:abstractNumId w:val="10"/>
  </w:num>
  <w:num w:numId="7" w16cid:durableId="1724137946">
    <w:abstractNumId w:val="8"/>
  </w:num>
  <w:num w:numId="8" w16cid:durableId="1913732898">
    <w:abstractNumId w:val="14"/>
  </w:num>
  <w:num w:numId="9" w16cid:durableId="263921313">
    <w:abstractNumId w:val="12"/>
  </w:num>
  <w:num w:numId="10" w16cid:durableId="826676638">
    <w:abstractNumId w:val="2"/>
  </w:num>
  <w:num w:numId="11" w16cid:durableId="1377973150">
    <w:abstractNumId w:val="22"/>
  </w:num>
  <w:num w:numId="12" w16cid:durableId="1922565451">
    <w:abstractNumId w:val="13"/>
  </w:num>
  <w:num w:numId="13" w16cid:durableId="979269806">
    <w:abstractNumId w:val="17"/>
  </w:num>
  <w:num w:numId="14" w16cid:durableId="148982712">
    <w:abstractNumId w:val="6"/>
  </w:num>
  <w:num w:numId="15" w16cid:durableId="191497246">
    <w:abstractNumId w:val="18"/>
  </w:num>
  <w:num w:numId="16" w16cid:durableId="1751273679">
    <w:abstractNumId w:val="19"/>
  </w:num>
  <w:num w:numId="17" w16cid:durableId="942372613">
    <w:abstractNumId w:val="11"/>
  </w:num>
  <w:num w:numId="18" w16cid:durableId="759377111">
    <w:abstractNumId w:val="21"/>
  </w:num>
  <w:num w:numId="19" w16cid:durableId="589462772">
    <w:abstractNumId w:val="20"/>
  </w:num>
  <w:num w:numId="20" w16cid:durableId="182519569">
    <w:abstractNumId w:val="15"/>
  </w:num>
  <w:num w:numId="21" w16cid:durableId="1550920569">
    <w:abstractNumId w:val="0"/>
  </w:num>
  <w:num w:numId="22" w16cid:durableId="994996763">
    <w:abstractNumId w:val="4"/>
  </w:num>
  <w:num w:numId="23" w16cid:durableId="343366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5F"/>
    <w:rsid w:val="00011954"/>
    <w:rsid w:val="00015FC5"/>
    <w:rsid w:val="00023583"/>
    <w:rsid w:val="00046F0B"/>
    <w:rsid w:val="00073579"/>
    <w:rsid w:val="000C0551"/>
    <w:rsid w:val="000D0C59"/>
    <w:rsid w:val="00143208"/>
    <w:rsid w:val="001628BF"/>
    <w:rsid w:val="00195DAD"/>
    <w:rsid w:val="001C355F"/>
    <w:rsid w:val="001D6534"/>
    <w:rsid w:val="001E1688"/>
    <w:rsid w:val="00224FED"/>
    <w:rsid w:val="002541D4"/>
    <w:rsid w:val="00272848"/>
    <w:rsid w:val="00277726"/>
    <w:rsid w:val="002A5B28"/>
    <w:rsid w:val="00307675"/>
    <w:rsid w:val="00321741"/>
    <w:rsid w:val="00326E76"/>
    <w:rsid w:val="00327D6F"/>
    <w:rsid w:val="00334A18"/>
    <w:rsid w:val="00380EF5"/>
    <w:rsid w:val="00397E24"/>
    <w:rsid w:val="003D7DB0"/>
    <w:rsid w:val="00404254"/>
    <w:rsid w:val="0041770C"/>
    <w:rsid w:val="004A332B"/>
    <w:rsid w:val="004A7D23"/>
    <w:rsid w:val="00534C72"/>
    <w:rsid w:val="00542F14"/>
    <w:rsid w:val="005549F0"/>
    <w:rsid w:val="005575FE"/>
    <w:rsid w:val="005C2BF8"/>
    <w:rsid w:val="005F2FD6"/>
    <w:rsid w:val="006339A3"/>
    <w:rsid w:val="006579EC"/>
    <w:rsid w:val="00657C9C"/>
    <w:rsid w:val="007468DF"/>
    <w:rsid w:val="00792F75"/>
    <w:rsid w:val="00802A23"/>
    <w:rsid w:val="008378E3"/>
    <w:rsid w:val="00850EF6"/>
    <w:rsid w:val="008519AD"/>
    <w:rsid w:val="008537BB"/>
    <w:rsid w:val="00854DDF"/>
    <w:rsid w:val="00871EE0"/>
    <w:rsid w:val="00877781"/>
    <w:rsid w:val="00894C1A"/>
    <w:rsid w:val="008D2EF1"/>
    <w:rsid w:val="008F344B"/>
    <w:rsid w:val="0090308B"/>
    <w:rsid w:val="009065F8"/>
    <w:rsid w:val="009528E8"/>
    <w:rsid w:val="00956092"/>
    <w:rsid w:val="009C055C"/>
    <w:rsid w:val="009C3E55"/>
    <w:rsid w:val="009D03B7"/>
    <w:rsid w:val="009F3514"/>
    <w:rsid w:val="00A56183"/>
    <w:rsid w:val="00A84DD0"/>
    <w:rsid w:val="00B334F3"/>
    <w:rsid w:val="00B63594"/>
    <w:rsid w:val="00BA136C"/>
    <w:rsid w:val="00BB67E0"/>
    <w:rsid w:val="00BB76F7"/>
    <w:rsid w:val="00BD3DED"/>
    <w:rsid w:val="00C17A98"/>
    <w:rsid w:val="00C22661"/>
    <w:rsid w:val="00C23686"/>
    <w:rsid w:val="00C5695C"/>
    <w:rsid w:val="00C74B5D"/>
    <w:rsid w:val="00C75C78"/>
    <w:rsid w:val="00CA5ABF"/>
    <w:rsid w:val="00CD1C82"/>
    <w:rsid w:val="00CD4900"/>
    <w:rsid w:val="00D72719"/>
    <w:rsid w:val="00D94EE5"/>
    <w:rsid w:val="00DB6781"/>
    <w:rsid w:val="00E11517"/>
    <w:rsid w:val="00E12CBC"/>
    <w:rsid w:val="00E258AA"/>
    <w:rsid w:val="00E51B4E"/>
    <w:rsid w:val="00E95877"/>
    <w:rsid w:val="00F34C41"/>
    <w:rsid w:val="00F64099"/>
    <w:rsid w:val="00FD4D2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661D1041"/>
  <w15:chartTrackingRefBased/>
  <w15:docId w15:val="{F587A777-7455-46C3-8B4B-71DE5BA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C3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D0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B28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1C3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4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A5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dentado">
    <w:name w:val="Indentado"/>
    <w:basedOn w:val="Normal"/>
    <w:link w:val="IndentadoCar"/>
    <w:qFormat/>
    <w:rsid w:val="001C355F"/>
    <w:pPr>
      <w:tabs>
        <w:tab w:val="left" w:pos="851"/>
      </w:tabs>
      <w:ind w:left="284"/>
      <w:jc w:val="left"/>
    </w:pPr>
    <w:rPr>
      <w:color w:val="000000"/>
      <w:lang w:val="en-US"/>
    </w:rPr>
  </w:style>
  <w:style w:type="character" w:customStyle="1" w:styleId="IndentadoCar">
    <w:name w:val="Indentado Car"/>
    <w:basedOn w:val="Fuentedeprrafopredeter"/>
    <w:link w:val="Indentado"/>
    <w:rsid w:val="001C355F"/>
    <w:rPr>
      <w:rFonts w:ascii="Verdana" w:hAnsi="Verdana"/>
      <w:color w:val="000000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5549F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57C9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628B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28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www.hse.gov.uk/pubns/priced/l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187</TotalTime>
  <Pages>7</Pages>
  <Words>1923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28</cp:revision>
  <cp:lastPrinted>2016-10-07T17:58:00Z</cp:lastPrinted>
  <dcterms:created xsi:type="dcterms:W3CDTF">2024-01-03T18:25:00Z</dcterms:created>
  <dcterms:modified xsi:type="dcterms:W3CDTF">2024-01-18T18:38:00Z</dcterms:modified>
</cp:coreProperties>
</file>